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88286" w14:textId="49E83662" w:rsidR="001F7CDC" w:rsidRPr="003072DD" w:rsidRDefault="001F7CDC" w:rsidP="001F7CDC">
      <w:pPr>
        <w:rPr>
          <w:rFonts w:ascii="Arial" w:hAnsi="Arial" w:cs="Arial"/>
          <w:b/>
          <w:bCs/>
          <w:sz w:val="20"/>
          <w:szCs w:val="18"/>
        </w:rPr>
      </w:pPr>
      <w:bookmarkStart w:id="0" w:name="_Hlk526165416"/>
      <w:r w:rsidRPr="003072DD">
        <w:rPr>
          <w:rFonts w:ascii="Arial" w:hAnsi="Arial" w:cs="Arial"/>
          <w:b/>
          <w:bCs/>
          <w:sz w:val="20"/>
          <w:szCs w:val="18"/>
        </w:rPr>
        <w:t>CLINICAL GAP</w:t>
      </w:r>
      <w:r w:rsidR="003072DD">
        <w:rPr>
          <w:rFonts w:ascii="Arial" w:hAnsi="Arial" w:cs="Arial"/>
          <w:b/>
          <w:bCs/>
          <w:sz w:val="20"/>
          <w:szCs w:val="18"/>
        </w:rPr>
        <w:t xml:space="preserve"> </w:t>
      </w:r>
      <w:r w:rsidRPr="003072DD">
        <w:rPr>
          <w:rFonts w:ascii="Arial" w:hAnsi="Arial" w:cs="Arial"/>
          <w:b/>
          <w:bCs/>
          <w:sz w:val="20"/>
          <w:szCs w:val="18"/>
        </w:rPr>
        <w:t>/</w:t>
      </w:r>
      <w:r w:rsidR="003072DD">
        <w:rPr>
          <w:rFonts w:ascii="Arial" w:hAnsi="Arial" w:cs="Arial"/>
          <w:b/>
          <w:bCs/>
          <w:sz w:val="20"/>
          <w:szCs w:val="18"/>
        </w:rPr>
        <w:t xml:space="preserve"> </w:t>
      </w:r>
      <w:r w:rsidRPr="003072DD">
        <w:rPr>
          <w:rFonts w:ascii="Arial" w:hAnsi="Arial" w:cs="Arial"/>
          <w:b/>
          <w:bCs/>
          <w:sz w:val="20"/>
          <w:szCs w:val="18"/>
        </w:rPr>
        <w:t>OUT-OF-</w:t>
      </w:r>
      <w:r w:rsidR="003072DD">
        <w:rPr>
          <w:rFonts w:ascii="Arial" w:hAnsi="Arial" w:cs="Arial"/>
          <w:b/>
          <w:bCs/>
          <w:sz w:val="20"/>
          <w:szCs w:val="18"/>
        </w:rPr>
        <w:t>NETWORK EXCEPTION REQUEST</w:t>
      </w:r>
    </w:p>
    <w:p w14:paraId="3C840A5C" w14:textId="63B97E7B" w:rsidR="001F7CDC" w:rsidRPr="00BD0356" w:rsidRDefault="001F7CDC" w:rsidP="001F7CDC">
      <w:pPr>
        <w:rPr>
          <w:rFonts w:ascii="Arial" w:hAnsi="Arial" w:cs="Arial"/>
          <w:sz w:val="18"/>
          <w:szCs w:val="19"/>
        </w:rPr>
      </w:pPr>
      <w:r w:rsidRPr="00BD0356">
        <w:rPr>
          <w:rFonts w:ascii="Arial" w:hAnsi="Arial" w:cs="Arial"/>
          <w:sz w:val="18"/>
          <w:szCs w:val="19"/>
        </w:rPr>
        <w:t>To: Insurer</w:t>
      </w:r>
      <w:r w:rsidRPr="00BD0356">
        <w:rPr>
          <w:rFonts w:ascii="Arial" w:hAnsi="Arial" w:cs="Arial"/>
          <w:sz w:val="18"/>
          <w:szCs w:val="19"/>
        </w:rPr>
        <w:br/>
        <w:t>Re: Patient’s Name</w:t>
      </w:r>
      <w:r w:rsidRPr="00BD0356">
        <w:rPr>
          <w:rFonts w:ascii="Arial" w:hAnsi="Arial" w:cs="Arial"/>
          <w:sz w:val="18"/>
          <w:szCs w:val="19"/>
        </w:rPr>
        <w:br/>
        <w:t>DOB: XXXX</w:t>
      </w:r>
      <w:r w:rsidRPr="00BD0356">
        <w:rPr>
          <w:rFonts w:ascii="Arial" w:hAnsi="Arial" w:cs="Arial"/>
          <w:sz w:val="18"/>
          <w:szCs w:val="19"/>
        </w:rPr>
        <w:br/>
        <w:t>Insurance ID</w:t>
      </w:r>
      <w:r w:rsidR="00BD0356" w:rsidRPr="00BD0356">
        <w:rPr>
          <w:rFonts w:ascii="Arial" w:hAnsi="Arial" w:cs="Arial"/>
          <w:sz w:val="18"/>
          <w:szCs w:val="19"/>
        </w:rPr>
        <w:t xml:space="preserve"> </w:t>
      </w:r>
      <w:r w:rsidRPr="00BD0356">
        <w:rPr>
          <w:rFonts w:ascii="Arial" w:hAnsi="Arial" w:cs="Arial"/>
          <w:sz w:val="18"/>
          <w:szCs w:val="19"/>
        </w:rPr>
        <w:t>#: XXXX</w:t>
      </w:r>
    </w:p>
    <w:p w14:paraId="308E350A" w14:textId="77777777" w:rsidR="001F7CDC" w:rsidRPr="00BD0356" w:rsidRDefault="001F7CDC" w:rsidP="001F7CDC">
      <w:pPr>
        <w:rPr>
          <w:rFonts w:ascii="Arial" w:hAnsi="Arial" w:cs="Arial"/>
          <w:sz w:val="18"/>
          <w:szCs w:val="19"/>
        </w:rPr>
      </w:pPr>
      <w:r w:rsidRPr="00BD0356">
        <w:rPr>
          <w:rFonts w:ascii="Arial" w:hAnsi="Arial" w:cs="Arial"/>
          <w:sz w:val="18"/>
          <w:szCs w:val="19"/>
        </w:rPr>
        <w:t>Dear Insurance Authorization Representative:</w:t>
      </w:r>
    </w:p>
    <w:p w14:paraId="5A95990C" w14:textId="77777777" w:rsidR="001F7CDC" w:rsidRPr="00BD0356" w:rsidRDefault="001F7CDC" w:rsidP="001F7CDC">
      <w:pPr>
        <w:jc w:val="both"/>
        <w:rPr>
          <w:rFonts w:ascii="Arial" w:hAnsi="Arial" w:cs="Arial"/>
          <w:sz w:val="18"/>
          <w:szCs w:val="19"/>
        </w:rPr>
      </w:pPr>
      <w:r w:rsidRPr="00BD0356">
        <w:rPr>
          <w:rFonts w:ascii="Arial" w:hAnsi="Arial" w:cs="Arial"/>
          <w:sz w:val="18"/>
          <w:szCs w:val="19"/>
        </w:rPr>
        <w:t xml:space="preserve">This letter is to request a gap exception (or out-of-network exception) authorization for the </w:t>
      </w:r>
      <w:r w:rsidRPr="00BD0356">
        <w:rPr>
          <w:rFonts w:ascii="Arial" w:hAnsi="Arial" w:cs="Arial"/>
          <w:noProof/>
          <w:sz w:val="18"/>
          <w:szCs w:val="19"/>
        </w:rPr>
        <w:t>above-named patient</w:t>
      </w:r>
      <w:r w:rsidRPr="00BD0356">
        <w:rPr>
          <w:rFonts w:ascii="Arial" w:hAnsi="Arial" w:cs="Arial"/>
          <w:sz w:val="18"/>
          <w:szCs w:val="19"/>
        </w:rPr>
        <w:t xml:space="preserve"> for the GeneAware test.  The patient was referred to our laboratory by her physician. It </w:t>
      </w:r>
      <w:r w:rsidRPr="00BD0356">
        <w:rPr>
          <w:rFonts w:ascii="Arial" w:hAnsi="Arial" w:cs="Arial"/>
          <w:noProof/>
          <w:sz w:val="18"/>
          <w:szCs w:val="19"/>
        </w:rPr>
        <w:t>was determined</w:t>
      </w:r>
      <w:r w:rsidRPr="00BD0356">
        <w:rPr>
          <w:rFonts w:ascii="Arial" w:hAnsi="Arial" w:cs="Arial"/>
          <w:sz w:val="18"/>
          <w:szCs w:val="19"/>
        </w:rPr>
        <w:t xml:space="preserve"> that the patient would strongly benefit from expanded carrier screening through </w:t>
      </w:r>
      <w:r w:rsidRPr="00BD0356">
        <w:rPr>
          <w:rFonts w:ascii="Arial" w:hAnsi="Arial" w:cs="Arial"/>
          <w:noProof/>
          <w:sz w:val="18"/>
          <w:szCs w:val="19"/>
        </w:rPr>
        <w:t>GeneAware</w:t>
      </w:r>
      <w:r w:rsidRPr="00BD0356">
        <w:rPr>
          <w:rFonts w:ascii="Arial" w:hAnsi="Arial" w:cs="Arial"/>
          <w:sz w:val="18"/>
          <w:szCs w:val="19"/>
        </w:rPr>
        <w:t xml:space="preserve">.  </w:t>
      </w:r>
    </w:p>
    <w:p w14:paraId="381D4816" w14:textId="77777777" w:rsidR="001F7CDC" w:rsidRPr="00BD0356" w:rsidRDefault="001F7CDC" w:rsidP="001F7CDC">
      <w:pPr>
        <w:spacing w:after="200" w:line="276" w:lineRule="auto"/>
        <w:jc w:val="both"/>
        <w:rPr>
          <w:rFonts w:ascii="Arial" w:hAnsi="Arial" w:cs="Arial"/>
          <w:sz w:val="18"/>
          <w:szCs w:val="19"/>
        </w:rPr>
      </w:pPr>
      <w:r w:rsidRPr="00BD0356">
        <w:rPr>
          <w:rFonts w:ascii="Arial" w:hAnsi="Arial" w:cs="Arial"/>
          <w:sz w:val="18"/>
          <w:szCs w:val="19"/>
        </w:rPr>
        <w:t xml:space="preserve">The American Congress of Obstetrics and Gynecology (ACOG) recommends testing for cystic fibrosis, spinal muscular atrophy, thalassemias, and hemoglobinopathies for all patients who are pregnant or considering pregnancy, regardless of ethnic background.1 Further, ACOG issued a joint statement with the American College of Medical Genetics and Genomics, Society for Maternal-Fetal Medicine, National Society of Genetic Counselors, and Perinatal Quality Foundation, supporting the use of expanded carrier screening as a tool for improved pre-conception counseling and disease prevention in offspring.2  </w:t>
      </w:r>
      <w:bookmarkStart w:id="1" w:name="_Hlk508608717"/>
    </w:p>
    <w:bookmarkEnd w:id="1"/>
    <w:p w14:paraId="56634EF4" w14:textId="77777777" w:rsidR="001F7CDC" w:rsidRPr="00BD0356" w:rsidRDefault="001F7CDC" w:rsidP="001F7CDC">
      <w:pPr>
        <w:jc w:val="both"/>
        <w:rPr>
          <w:rFonts w:ascii="Arial" w:hAnsi="Arial" w:cs="Arial"/>
          <w:sz w:val="18"/>
          <w:szCs w:val="19"/>
        </w:rPr>
      </w:pPr>
      <w:r w:rsidRPr="00BD0356">
        <w:rPr>
          <w:rFonts w:ascii="Arial" w:hAnsi="Arial" w:cs="Arial"/>
          <w:sz w:val="18"/>
          <w:szCs w:val="19"/>
        </w:rPr>
        <w:t xml:space="preserve">To this end, GeneAware expanded carrier screening utilizes </w:t>
      </w:r>
      <w:r w:rsidRPr="00BD0356">
        <w:rPr>
          <w:rFonts w:ascii="Arial" w:hAnsi="Arial" w:cs="Arial"/>
          <w:noProof/>
          <w:sz w:val="18"/>
          <w:szCs w:val="19"/>
        </w:rPr>
        <w:t>next-generation</w:t>
      </w:r>
      <w:r w:rsidRPr="00BD0356">
        <w:rPr>
          <w:rFonts w:ascii="Arial" w:hAnsi="Arial" w:cs="Arial"/>
          <w:sz w:val="18"/>
          <w:szCs w:val="19"/>
        </w:rPr>
        <w:t xml:space="preserve"> sequencing and copy number variant analysis to test for over 150 genetic conditions simultaneously.  GeneAware is exceptional for the amount of sequence covered in the targeted genes, for the inclusion of gene dosage analysis for alpha-thalassemia and silent carriers for spinal muscular atrophy as well as the inclusion of Duchenne muscular dystrophy.  In greater than 90% of conditions, GeneAware can report a detection rate of over 90%.  Baylor Genetics provides live curation for variants of unknown significance as well as access to a genetic counselor.  High detection rates coupled with a robust database of curated variants and a specialized team of carrier lab directors and genetic counselors, allows patients to obtain a highly comprehensive report that includes the most accurate reproductive risk estimates available.  </w:t>
      </w:r>
    </w:p>
    <w:p w14:paraId="3AD8D41D" w14:textId="77777777" w:rsidR="001F7CDC" w:rsidRPr="00BD0356" w:rsidRDefault="001F7CDC" w:rsidP="001F7CDC">
      <w:pPr>
        <w:jc w:val="both"/>
        <w:rPr>
          <w:rFonts w:ascii="Arial" w:hAnsi="Arial" w:cs="Arial"/>
          <w:sz w:val="18"/>
          <w:szCs w:val="19"/>
        </w:rPr>
      </w:pPr>
      <w:r w:rsidRPr="00BD0356">
        <w:rPr>
          <w:rFonts w:ascii="Arial" w:hAnsi="Arial" w:cs="Arial"/>
          <w:sz w:val="18"/>
          <w:szCs w:val="19"/>
        </w:rPr>
        <w:t xml:space="preserve">Baylor Genetics </w:t>
      </w:r>
      <w:r w:rsidRPr="00BD0356">
        <w:rPr>
          <w:rFonts w:ascii="Arial" w:hAnsi="Arial" w:cs="Arial"/>
          <w:noProof/>
          <w:sz w:val="18"/>
          <w:szCs w:val="19"/>
        </w:rPr>
        <w:t>can</w:t>
      </w:r>
      <w:r w:rsidRPr="00BD0356">
        <w:rPr>
          <w:rFonts w:ascii="Arial" w:hAnsi="Arial" w:cs="Arial"/>
          <w:sz w:val="18"/>
          <w:szCs w:val="19"/>
        </w:rPr>
        <w:t xml:space="preserve"> work with small and limited specimens while still providing in-depth results. There is not another in-network provider to provide this level of comprehensive screening in our patient’s geographical area. </w:t>
      </w:r>
      <w:r w:rsidRPr="00BD0356">
        <w:rPr>
          <w:rFonts w:ascii="Arial" w:hAnsi="Arial" w:cs="Arial"/>
          <w:b/>
          <w:sz w:val="18"/>
          <w:szCs w:val="19"/>
        </w:rPr>
        <w:t xml:space="preserve">[Name of </w:t>
      </w:r>
      <w:r w:rsidRPr="00BD0356">
        <w:rPr>
          <w:rFonts w:ascii="Arial" w:hAnsi="Arial" w:cs="Arial"/>
          <w:b/>
          <w:noProof/>
          <w:sz w:val="18"/>
          <w:szCs w:val="19"/>
        </w:rPr>
        <w:t>patient</w:t>
      </w:r>
      <w:r w:rsidRPr="00BD0356">
        <w:rPr>
          <w:rFonts w:ascii="Arial" w:hAnsi="Arial" w:cs="Arial"/>
          <w:b/>
          <w:sz w:val="18"/>
          <w:szCs w:val="19"/>
        </w:rPr>
        <w:t>]</w:t>
      </w:r>
      <w:r w:rsidRPr="00BD0356">
        <w:rPr>
          <w:rFonts w:ascii="Arial" w:hAnsi="Arial" w:cs="Arial"/>
          <w:sz w:val="18"/>
          <w:szCs w:val="19"/>
        </w:rPr>
        <w:t xml:space="preserve"> would like to be able to utilize his/her in-network benefits. As there is not an in-network provider for his/her who can provide the same comprehensive carrier screening, we are requesting a network gap exception authorization for treatment.</w:t>
      </w:r>
    </w:p>
    <w:p w14:paraId="2B4E1E79" w14:textId="77777777" w:rsidR="001F7CDC" w:rsidRPr="00BD0356" w:rsidRDefault="001F7CDC" w:rsidP="001F7CDC">
      <w:pPr>
        <w:rPr>
          <w:rFonts w:ascii="Arial" w:hAnsi="Arial" w:cs="Arial"/>
          <w:sz w:val="18"/>
          <w:szCs w:val="19"/>
        </w:rPr>
      </w:pPr>
      <w:r w:rsidRPr="00BD0356">
        <w:rPr>
          <w:rFonts w:ascii="Arial" w:hAnsi="Arial" w:cs="Arial"/>
          <w:sz w:val="18"/>
          <w:szCs w:val="19"/>
        </w:rPr>
        <w:t>Thank you for your prompt attention to this matter.</w:t>
      </w:r>
    </w:p>
    <w:p w14:paraId="6EF3DBCD" w14:textId="5A06F076" w:rsidR="001F7CDC" w:rsidRPr="00BD0356" w:rsidRDefault="001F7CDC" w:rsidP="001F7CDC">
      <w:pPr>
        <w:rPr>
          <w:rFonts w:ascii="Arial" w:hAnsi="Arial" w:cs="Arial"/>
          <w:sz w:val="18"/>
          <w:szCs w:val="19"/>
        </w:rPr>
      </w:pPr>
      <w:r w:rsidRPr="00BD0356">
        <w:rPr>
          <w:rFonts w:ascii="Arial" w:hAnsi="Arial" w:cs="Arial"/>
          <w:sz w:val="18"/>
          <w:szCs w:val="19"/>
        </w:rPr>
        <w:t xml:space="preserve">For additional questions, </w:t>
      </w:r>
      <w:r w:rsidRPr="00BD0356">
        <w:rPr>
          <w:rFonts w:ascii="Arial" w:hAnsi="Arial" w:cs="Arial"/>
          <w:noProof/>
          <w:sz w:val="18"/>
          <w:szCs w:val="19"/>
        </w:rPr>
        <w:t>please</w:t>
      </w:r>
      <w:r w:rsidRPr="00BD0356">
        <w:rPr>
          <w:rFonts w:ascii="Arial" w:hAnsi="Arial" w:cs="Arial"/>
          <w:sz w:val="18"/>
          <w:szCs w:val="19"/>
        </w:rPr>
        <w:t xml:space="preserve"> contact us by phone at 1-800-411-4363, by </w:t>
      </w:r>
      <w:r w:rsidR="00BD0356" w:rsidRPr="00BD0356">
        <w:rPr>
          <w:rFonts w:ascii="Arial" w:hAnsi="Arial" w:cs="Arial"/>
          <w:sz w:val="18"/>
          <w:szCs w:val="19"/>
        </w:rPr>
        <w:t>f</w:t>
      </w:r>
      <w:r w:rsidRPr="00BD0356">
        <w:rPr>
          <w:rFonts w:ascii="Arial" w:hAnsi="Arial" w:cs="Arial"/>
          <w:sz w:val="18"/>
          <w:szCs w:val="19"/>
        </w:rPr>
        <w:t xml:space="preserve">ax at </w:t>
      </w:r>
      <w:r w:rsidR="00BD0356" w:rsidRPr="00BD0356">
        <w:rPr>
          <w:rFonts w:ascii="Arial" w:hAnsi="Arial" w:cs="Arial"/>
          <w:sz w:val="18"/>
          <w:szCs w:val="19"/>
        </w:rPr>
        <w:t>1-866-399-3559</w:t>
      </w:r>
      <w:r w:rsidRPr="00BD0356">
        <w:rPr>
          <w:rFonts w:ascii="Arial" w:hAnsi="Arial" w:cs="Arial"/>
          <w:sz w:val="18"/>
          <w:szCs w:val="19"/>
        </w:rPr>
        <w:t xml:space="preserve"> or email at billing@baylorgenetics.com.</w:t>
      </w:r>
    </w:p>
    <w:p w14:paraId="1C442B21" w14:textId="77777777" w:rsidR="001F7CDC" w:rsidRPr="00BD0356" w:rsidRDefault="001F7CDC" w:rsidP="001F7CDC">
      <w:pPr>
        <w:pStyle w:val="NormalWeb"/>
        <w:shd w:val="clear" w:color="auto" w:fill="FFFFFF"/>
        <w:spacing w:before="0" w:beforeAutospacing="0" w:after="225" w:afterAutospacing="0" w:line="276" w:lineRule="auto"/>
        <w:jc w:val="both"/>
        <w:rPr>
          <w:rFonts w:ascii="Arial" w:hAnsi="Arial" w:cs="Arial"/>
          <w:sz w:val="18"/>
          <w:szCs w:val="19"/>
        </w:rPr>
      </w:pPr>
      <w:bookmarkStart w:id="2" w:name="_GoBack"/>
      <w:bookmarkEnd w:id="2"/>
    </w:p>
    <w:p w14:paraId="7E375AF0" w14:textId="77777777" w:rsidR="001F7CDC" w:rsidRPr="00BD0356" w:rsidRDefault="001F7CDC" w:rsidP="001F7CDC">
      <w:pPr>
        <w:pStyle w:val="NormalWeb"/>
        <w:shd w:val="clear" w:color="auto" w:fill="FFFFFF"/>
        <w:spacing w:before="0" w:beforeAutospacing="0" w:after="225" w:afterAutospacing="0" w:line="276" w:lineRule="auto"/>
        <w:jc w:val="both"/>
        <w:rPr>
          <w:rFonts w:ascii="Arial" w:hAnsi="Arial" w:cs="Arial"/>
          <w:color w:val="000000"/>
          <w:sz w:val="18"/>
          <w:szCs w:val="19"/>
        </w:rPr>
      </w:pPr>
      <w:r w:rsidRPr="00BD0356">
        <w:rPr>
          <w:rFonts w:ascii="Arial" w:hAnsi="Arial" w:cs="Arial"/>
          <w:sz w:val="18"/>
          <w:szCs w:val="19"/>
        </w:rPr>
        <w:t>Sincerely,</w:t>
      </w:r>
    </w:p>
    <w:p w14:paraId="5F1240A8" w14:textId="139C81CC" w:rsidR="001F7CDC" w:rsidRPr="00BD0356" w:rsidRDefault="001F7CDC" w:rsidP="001F7CDC">
      <w:pPr>
        <w:pStyle w:val="NormalWeb"/>
        <w:shd w:val="clear" w:color="auto" w:fill="FFFFFF"/>
        <w:spacing w:before="0" w:beforeAutospacing="0" w:after="225" w:afterAutospacing="0" w:line="276" w:lineRule="auto"/>
        <w:jc w:val="both"/>
        <w:rPr>
          <w:rFonts w:ascii="Arial" w:hAnsi="Arial" w:cs="Arial"/>
          <w:color w:val="000000"/>
          <w:sz w:val="18"/>
          <w:szCs w:val="19"/>
        </w:rPr>
      </w:pPr>
      <w:r w:rsidRPr="00BD0356">
        <w:rPr>
          <w:rFonts w:ascii="Arial" w:hAnsi="Arial" w:cs="Arial"/>
          <w:color w:val="000000"/>
          <w:sz w:val="18"/>
          <w:szCs w:val="19"/>
        </w:rPr>
        <w:t>Your Name</w:t>
      </w:r>
    </w:p>
    <w:p w14:paraId="5A47467F" w14:textId="77777777" w:rsidR="001F7CDC" w:rsidRPr="003072DD" w:rsidRDefault="001F7CDC" w:rsidP="001F7CDC">
      <w:pPr>
        <w:pStyle w:val="ListParagraph"/>
        <w:numPr>
          <w:ilvl w:val="0"/>
          <w:numId w:val="1"/>
        </w:numPr>
        <w:spacing w:before="100" w:beforeAutospacing="1" w:after="100" w:afterAutospacing="1"/>
        <w:jc w:val="both"/>
        <w:rPr>
          <w:rFonts w:ascii="Arial" w:hAnsi="Arial" w:cs="Arial"/>
          <w:sz w:val="16"/>
          <w:szCs w:val="18"/>
        </w:rPr>
      </w:pPr>
      <w:r w:rsidRPr="003072DD">
        <w:rPr>
          <w:rFonts w:ascii="Arial" w:hAnsi="Arial" w:cs="Arial"/>
          <w:sz w:val="16"/>
          <w:szCs w:val="18"/>
        </w:rPr>
        <w:t>American College of Obstetricians and Gynecologists. Carrier screening for genetic conditions. Committee Opinion No. 691. Obstet Gynecol. 2017;129:e41–e55. |</w:t>
      </w:r>
    </w:p>
    <w:p w14:paraId="58F4F8B2" w14:textId="57769EFE" w:rsidR="00CD7B1E" w:rsidRPr="003072DD" w:rsidRDefault="001F7CDC" w:rsidP="001F7CDC">
      <w:pPr>
        <w:pStyle w:val="ListParagraph"/>
        <w:numPr>
          <w:ilvl w:val="0"/>
          <w:numId w:val="1"/>
        </w:numPr>
        <w:shd w:val="clear" w:color="auto" w:fill="FFFFFF"/>
        <w:spacing w:after="225" w:line="276" w:lineRule="auto"/>
        <w:jc w:val="both"/>
        <w:rPr>
          <w:rFonts w:ascii="Arial" w:hAnsi="Arial" w:cs="Arial"/>
          <w:color w:val="000000"/>
          <w:sz w:val="16"/>
          <w:szCs w:val="18"/>
        </w:rPr>
      </w:pPr>
      <w:r w:rsidRPr="003072DD">
        <w:rPr>
          <w:rFonts w:ascii="Arial" w:hAnsi="Arial" w:cs="Arial"/>
          <w:sz w:val="16"/>
          <w:szCs w:val="18"/>
        </w:rPr>
        <w:t xml:space="preserve">Edwards, J.G., Feldman, G., Goldberg, J., Gregg, A.R., Norton, M.E., Rose, N.C. </w:t>
      </w:r>
      <w:r w:rsidRPr="00BD0356">
        <w:rPr>
          <w:rFonts w:ascii="Arial" w:hAnsi="Arial" w:cs="Arial"/>
          <w:noProof/>
          <w:sz w:val="16"/>
          <w:szCs w:val="18"/>
        </w:rPr>
        <w:t>et al</w:t>
      </w:r>
      <w:r w:rsidRPr="003072DD">
        <w:rPr>
          <w:rFonts w:ascii="Arial" w:hAnsi="Arial" w:cs="Arial"/>
          <w:sz w:val="16"/>
          <w:szCs w:val="18"/>
        </w:rPr>
        <w:t>, Expanded carrier screening in reproductive medicine—points to consider. A joint statement of the American College of Medical Genetics and Genomics, American College of Obstetricians and Gynecologists, National Society of Genetic Counselors, Perinatal Quality Foundation, and Society for Maternal-Fetal Medicine. Obstet Gynecol. 2015;1225:653–662.</w:t>
      </w:r>
      <w:bookmarkEnd w:id="0"/>
    </w:p>
    <w:sectPr w:rsidR="00CD7B1E" w:rsidRPr="003072DD" w:rsidSect="00B7549C">
      <w:headerReference w:type="default" r:id="rId11"/>
      <w:footerReference w:type="default" r:id="rId12"/>
      <w:pgSz w:w="12240" w:h="15840"/>
      <w:pgMar w:top="28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A8D03" w14:textId="77777777" w:rsidR="002416EA" w:rsidRDefault="002416EA" w:rsidP="00B7549C">
      <w:pPr>
        <w:spacing w:after="0" w:line="240" w:lineRule="auto"/>
      </w:pPr>
      <w:r>
        <w:separator/>
      </w:r>
    </w:p>
  </w:endnote>
  <w:endnote w:type="continuationSeparator" w:id="0">
    <w:p w14:paraId="44492A40" w14:textId="77777777" w:rsidR="002416EA" w:rsidRDefault="002416EA" w:rsidP="00B7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500738"/>
      <w:docPartObj>
        <w:docPartGallery w:val="Page Numbers (Bottom of Page)"/>
        <w:docPartUnique/>
      </w:docPartObj>
    </w:sdtPr>
    <w:sdtEndPr/>
    <w:sdtContent>
      <w:sdt>
        <w:sdtPr>
          <w:id w:val="1728636285"/>
          <w:docPartObj>
            <w:docPartGallery w:val="Page Numbers (Top of Page)"/>
            <w:docPartUnique/>
          </w:docPartObj>
        </w:sdtPr>
        <w:sdtEndPr/>
        <w:sdtContent>
          <w:p w14:paraId="43DDBFFA" w14:textId="77777777" w:rsidR="00CD7B1E" w:rsidRDefault="00CD7B1E">
            <w:pPr>
              <w:pStyle w:val="Footer"/>
              <w:jc w:val="center"/>
            </w:pPr>
            <w:r w:rsidRPr="00D27F58">
              <w:rPr>
                <w:rFonts w:ascii="Arial" w:hAnsi="Arial" w:cs="Arial"/>
                <w:b/>
                <w:bCs/>
                <w:color w:val="160E44"/>
                <w:sz w:val="16"/>
                <w:szCs w:val="16"/>
              </w:rPr>
              <w:fldChar w:fldCharType="begin"/>
            </w:r>
            <w:r w:rsidRPr="00D27F58">
              <w:rPr>
                <w:rFonts w:ascii="Arial" w:hAnsi="Arial" w:cs="Arial"/>
                <w:b/>
                <w:bCs/>
                <w:color w:val="160E44"/>
                <w:sz w:val="16"/>
                <w:szCs w:val="16"/>
              </w:rPr>
              <w:instrText xml:space="preserve"> PAGE </w:instrText>
            </w:r>
            <w:r w:rsidRPr="00D27F58">
              <w:rPr>
                <w:rFonts w:ascii="Arial" w:hAnsi="Arial" w:cs="Arial"/>
                <w:b/>
                <w:bCs/>
                <w:color w:val="160E44"/>
                <w:sz w:val="16"/>
                <w:szCs w:val="16"/>
              </w:rPr>
              <w:fldChar w:fldCharType="separate"/>
            </w:r>
            <w:r w:rsidR="00D62D88">
              <w:rPr>
                <w:rFonts w:ascii="Arial" w:hAnsi="Arial" w:cs="Arial"/>
                <w:b/>
                <w:bCs/>
                <w:noProof/>
                <w:color w:val="160E44"/>
                <w:sz w:val="16"/>
                <w:szCs w:val="16"/>
              </w:rPr>
              <w:t>1</w:t>
            </w:r>
            <w:r w:rsidRPr="00D27F58">
              <w:rPr>
                <w:rFonts w:ascii="Arial" w:hAnsi="Arial" w:cs="Arial"/>
                <w:b/>
                <w:bCs/>
                <w:color w:val="160E44"/>
                <w:sz w:val="16"/>
                <w:szCs w:val="16"/>
              </w:rPr>
              <w:fldChar w:fldCharType="end"/>
            </w:r>
            <w:r w:rsidRPr="00D27F58">
              <w:rPr>
                <w:rFonts w:ascii="Arial" w:hAnsi="Arial" w:cs="Arial"/>
                <w:sz w:val="16"/>
                <w:szCs w:val="16"/>
              </w:rPr>
              <w:t xml:space="preserve"> </w:t>
            </w:r>
            <w:r w:rsidRPr="00D27F58">
              <w:rPr>
                <w:rFonts w:ascii="Arial" w:hAnsi="Arial" w:cs="Arial"/>
                <w:color w:val="28A8E0"/>
                <w:sz w:val="16"/>
                <w:szCs w:val="16"/>
              </w:rPr>
              <w:t>//</w:t>
            </w:r>
            <w:r w:rsidRPr="00D27F58">
              <w:rPr>
                <w:rFonts w:ascii="Arial" w:hAnsi="Arial" w:cs="Arial"/>
                <w:sz w:val="16"/>
                <w:szCs w:val="16"/>
              </w:rPr>
              <w:t xml:space="preserve"> </w:t>
            </w:r>
            <w:r w:rsidRPr="00D27F58">
              <w:rPr>
                <w:rFonts w:ascii="Arial" w:hAnsi="Arial" w:cs="Arial"/>
                <w:b/>
                <w:bCs/>
                <w:sz w:val="16"/>
                <w:szCs w:val="16"/>
              </w:rPr>
              <w:fldChar w:fldCharType="begin"/>
            </w:r>
            <w:r w:rsidRPr="00D27F58">
              <w:rPr>
                <w:rFonts w:ascii="Arial" w:hAnsi="Arial" w:cs="Arial"/>
                <w:b/>
                <w:bCs/>
                <w:sz w:val="16"/>
                <w:szCs w:val="16"/>
              </w:rPr>
              <w:instrText xml:space="preserve"> NUMPAGES  </w:instrText>
            </w:r>
            <w:r w:rsidRPr="00D27F58">
              <w:rPr>
                <w:rFonts w:ascii="Arial" w:hAnsi="Arial" w:cs="Arial"/>
                <w:b/>
                <w:bCs/>
                <w:sz w:val="16"/>
                <w:szCs w:val="16"/>
              </w:rPr>
              <w:fldChar w:fldCharType="separate"/>
            </w:r>
            <w:r w:rsidR="00D62D88">
              <w:rPr>
                <w:rFonts w:ascii="Arial" w:hAnsi="Arial" w:cs="Arial"/>
                <w:b/>
                <w:bCs/>
                <w:noProof/>
                <w:sz w:val="16"/>
                <w:szCs w:val="16"/>
              </w:rPr>
              <w:t>1</w:t>
            </w:r>
            <w:r w:rsidRPr="00D27F58">
              <w:rPr>
                <w:rFonts w:ascii="Arial" w:hAnsi="Arial" w:cs="Arial"/>
                <w:b/>
                <w:bCs/>
                <w:sz w:val="16"/>
                <w:szCs w:val="16"/>
              </w:rPr>
              <w:fldChar w:fldCharType="end"/>
            </w:r>
          </w:p>
        </w:sdtContent>
      </w:sdt>
    </w:sdtContent>
  </w:sdt>
  <w:p w14:paraId="2D1AC56B" w14:textId="77777777" w:rsidR="00B7549C" w:rsidRDefault="00B75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9C451" w14:textId="77777777" w:rsidR="002416EA" w:rsidRDefault="002416EA" w:rsidP="00B7549C">
      <w:pPr>
        <w:spacing w:after="0" w:line="240" w:lineRule="auto"/>
      </w:pPr>
      <w:r>
        <w:separator/>
      </w:r>
    </w:p>
  </w:footnote>
  <w:footnote w:type="continuationSeparator" w:id="0">
    <w:p w14:paraId="57C99121" w14:textId="77777777" w:rsidR="002416EA" w:rsidRDefault="002416EA" w:rsidP="00B75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9BC57" w14:textId="77777777" w:rsidR="00B7549C" w:rsidRDefault="001E7BC5">
    <w:pPr>
      <w:pStyle w:val="Header"/>
    </w:pPr>
    <w:r>
      <w:rPr>
        <w:noProof/>
        <w:lang w:eastAsia="ko-KR"/>
      </w:rPr>
      <w:drawing>
        <wp:anchor distT="0" distB="0" distL="114300" distR="114300" simplePos="0" relativeHeight="251658240" behindDoc="1" locked="0" layoutInCell="1" allowOverlap="1" wp14:anchorId="2200061C" wp14:editId="75F71CDC">
          <wp:simplePos x="0" y="0"/>
          <wp:positionH relativeFrom="page">
            <wp:align>left</wp:align>
          </wp:positionH>
          <wp:positionV relativeFrom="paragraph">
            <wp:posOffset>-450760</wp:posOffset>
          </wp:positionV>
          <wp:extent cx="7817393" cy="1103632"/>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template-header.png"/>
                  <pic:cNvPicPr/>
                </pic:nvPicPr>
                <pic:blipFill>
                  <a:blip r:embed="rId1">
                    <a:extLst>
                      <a:ext uri="{28A0092B-C50C-407E-A947-70E740481C1C}">
                        <a14:useLocalDpi xmlns:a14="http://schemas.microsoft.com/office/drawing/2010/main" val="0"/>
                      </a:ext>
                    </a:extLst>
                  </a:blip>
                  <a:stretch>
                    <a:fillRect/>
                  </a:stretch>
                </pic:blipFill>
                <pic:spPr>
                  <a:xfrm>
                    <a:off x="0" y="0"/>
                    <a:ext cx="7817393" cy="1103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A3364"/>
    <w:multiLevelType w:val="hybridMultilevel"/>
    <w:tmpl w:val="EF8A0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EwMzczMjA0MLUwMDZQ0lEKTi0uzszPAykwrAUAzuvgMywAAAA="/>
  </w:docVars>
  <w:rsids>
    <w:rsidRoot w:val="009144A9"/>
    <w:rsid w:val="000A6534"/>
    <w:rsid w:val="001E7BC5"/>
    <w:rsid w:val="001F7CDC"/>
    <w:rsid w:val="002416EA"/>
    <w:rsid w:val="0027787E"/>
    <w:rsid w:val="003072DD"/>
    <w:rsid w:val="00541CF7"/>
    <w:rsid w:val="007465DE"/>
    <w:rsid w:val="00894C3F"/>
    <w:rsid w:val="009144A9"/>
    <w:rsid w:val="00A26C7C"/>
    <w:rsid w:val="00A610C9"/>
    <w:rsid w:val="00B106C0"/>
    <w:rsid w:val="00B7549C"/>
    <w:rsid w:val="00BD0356"/>
    <w:rsid w:val="00CD7B1E"/>
    <w:rsid w:val="00D27F58"/>
    <w:rsid w:val="00D51DCE"/>
    <w:rsid w:val="00D62D88"/>
    <w:rsid w:val="00DC7F9A"/>
    <w:rsid w:val="00E74AA0"/>
    <w:rsid w:val="00F40E35"/>
    <w:rsid w:val="00F7369E"/>
    <w:rsid w:val="00FA35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368D6"/>
  <w15:chartTrackingRefBased/>
  <w15:docId w15:val="{5B124D01-4EFC-478F-9A8F-29530FB9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7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49C"/>
  </w:style>
  <w:style w:type="paragraph" w:styleId="Footer">
    <w:name w:val="footer"/>
    <w:basedOn w:val="Normal"/>
    <w:link w:val="FooterChar"/>
    <w:uiPriority w:val="99"/>
    <w:unhideWhenUsed/>
    <w:rsid w:val="00B75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49C"/>
  </w:style>
  <w:style w:type="paragraph" w:styleId="NormalWeb">
    <w:name w:val="Normal (Web)"/>
    <w:basedOn w:val="Normal"/>
    <w:uiPriority w:val="99"/>
    <w:unhideWhenUsed/>
    <w:rsid w:val="00B7549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7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B1E"/>
    <w:rPr>
      <w:rFonts w:ascii="Segoe UI" w:hAnsi="Segoe UI" w:cs="Segoe UI"/>
      <w:sz w:val="18"/>
      <w:szCs w:val="18"/>
    </w:rPr>
  </w:style>
  <w:style w:type="paragraph" w:styleId="ListParagraph">
    <w:name w:val="List Paragraph"/>
    <w:basedOn w:val="Normal"/>
    <w:uiPriority w:val="34"/>
    <w:qFormat/>
    <w:rsid w:val="001F7CDC"/>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9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B08BBC90698749BF22FC65017E7664" ma:contentTypeVersion="8" ma:contentTypeDescription="Create a new document." ma:contentTypeScope="" ma:versionID="3f283788dfe01f8c25bc07e448f8e45f">
  <xsd:schema xmlns:xsd="http://www.w3.org/2001/XMLSchema" xmlns:xs="http://www.w3.org/2001/XMLSchema" xmlns:p="http://schemas.microsoft.com/office/2006/metadata/properties" xmlns:ns2="24b2eb4c-7511-4813-b13c-3a1d8ed9019b" xmlns:ns3="2a3ab3f2-722d-40d5-8363-bc02829425e1" targetNamespace="http://schemas.microsoft.com/office/2006/metadata/properties" ma:root="true" ma:fieldsID="75aa3517154b5e1643f71d4d4e12e6dc" ns2:_="" ns3:_="">
    <xsd:import namespace="24b2eb4c-7511-4813-b13c-3a1d8ed9019b"/>
    <xsd:import namespace="2a3ab3f2-722d-40d5-8363-bc0282942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2eb4c-7511-4813-b13c-3a1d8ed90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ab3f2-722d-40d5-8363-bc02829425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3E3FD-99E1-4F27-9116-14416FF55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2eb4c-7511-4813-b13c-3a1d8ed9019b"/>
    <ds:schemaRef ds:uri="2a3ab3f2-722d-40d5-8363-bc0282942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AAF69-BC92-4A32-B95F-033AA830DA6E}">
  <ds:schemaRefs>
    <ds:schemaRef ds:uri="http://purl.org/dc/elements/1.1/"/>
    <ds:schemaRef ds:uri="http://schemas.microsoft.com/office/2006/metadata/properties"/>
    <ds:schemaRef ds:uri="http://purl.org/dc/terms/"/>
    <ds:schemaRef ds:uri="24b2eb4c-7511-4813-b13c-3a1d8ed9019b"/>
    <ds:schemaRef ds:uri="2a3ab3f2-722d-40d5-8363-bc02829425e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811DA7E-9669-4D68-BE84-55CB957291FC}">
  <ds:schemaRefs>
    <ds:schemaRef ds:uri="http://schemas.microsoft.com/sharepoint/v3/contenttype/forms"/>
  </ds:schemaRefs>
</ds:datastoreItem>
</file>

<file path=customXml/itemProps4.xml><?xml version="1.0" encoding="utf-8"?>
<ds:datastoreItem xmlns:ds="http://schemas.openxmlformats.org/officeDocument/2006/customXml" ds:itemID="{3FEDD99B-C71C-48B8-A567-FBBE7433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Do</dc:creator>
  <cp:keywords/>
  <dc:description/>
  <cp:lastModifiedBy>Masele T. Ivey</cp:lastModifiedBy>
  <cp:revision>3</cp:revision>
  <cp:lastPrinted>2018-01-09T17:51:00Z</cp:lastPrinted>
  <dcterms:created xsi:type="dcterms:W3CDTF">2018-10-25T14:59:00Z</dcterms:created>
  <dcterms:modified xsi:type="dcterms:W3CDTF">2018-10-25T15:35:00Z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0x01010093B08BBC90698749BF22FC65017E7664</vt:lpwstr>
  </property>
</Properties>
</file>